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880F" w14:textId="77777777" w:rsidR="00CA2F3E" w:rsidRPr="00584DC5" w:rsidRDefault="00CA2F3E" w:rsidP="00CA2F3E">
      <w:pPr>
        <w:contextualSpacing/>
        <w:jc w:val="center"/>
        <w:rPr>
          <w:rFonts w:ascii="Arial" w:hAnsi="Arial" w:cs="Arial"/>
        </w:rPr>
      </w:pPr>
      <w:r w:rsidRPr="00584DC5">
        <w:rPr>
          <w:rFonts w:ascii="Arial" w:hAnsi="Arial" w:cs="Arial"/>
        </w:rPr>
        <w:t>Programa de Apoyo de Transporte Subnacional - PATS</w:t>
      </w:r>
    </w:p>
    <w:p w14:paraId="14368423" w14:textId="77777777" w:rsidR="00CA2F3E" w:rsidRPr="00584DC5" w:rsidRDefault="00CA2F3E" w:rsidP="00CA2F3E">
      <w:pPr>
        <w:contextualSpacing/>
        <w:jc w:val="center"/>
        <w:rPr>
          <w:rFonts w:ascii="Arial" w:hAnsi="Arial" w:cs="Arial"/>
        </w:rPr>
      </w:pPr>
      <w:r w:rsidRPr="00584DC5">
        <w:rPr>
          <w:rFonts w:ascii="Arial" w:hAnsi="Arial" w:cs="Arial"/>
          <w:iCs/>
        </w:rPr>
        <w:t xml:space="preserve">PRESTAMO: </w:t>
      </w:r>
      <w:proofErr w:type="spellStart"/>
      <w:r w:rsidRPr="00584DC5">
        <w:rPr>
          <w:rFonts w:ascii="Arial" w:hAnsi="Arial" w:cs="Arial"/>
          <w:iCs/>
        </w:rPr>
        <w:t>N°</w:t>
      </w:r>
      <w:proofErr w:type="spellEnd"/>
      <w:r w:rsidRPr="00584DC5">
        <w:rPr>
          <w:rFonts w:ascii="Arial" w:hAnsi="Arial" w:cs="Arial"/>
          <w:iCs/>
        </w:rPr>
        <w:t xml:space="preserve"> 3587/OC-PE – Banco Interamericano de Desarrollo</w:t>
      </w:r>
    </w:p>
    <w:p w14:paraId="0A7800A5" w14:textId="77777777" w:rsidR="00CA2F3E" w:rsidRPr="00584DC5" w:rsidRDefault="00CA2F3E" w:rsidP="00CA2F3E">
      <w:pPr>
        <w:contextualSpacing/>
        <w:jc w:val="center"/>
        <w:rPr>
          <w:rFonts w:ascii="Arial" w:hAnsi="Arial" w:cs="Arial"/>
          <w:b/>
          <w:bCs/>
        </w:rPr>
      </w:pPr>
      <w:r w:rsidRPr="00584DC5">
        <w:rPr>
          <w:rFonts w:ascii="Arial" w:hAnsi="Arial" w:cs="Arial"/>
          <w:iCs/>
        </w:rPr>
        <w:t xml:space="preserve">Llamado del Proceso </w:t>
      </w:r>
      <w:r w:rsidRPr="00584DC5">
        <w:rPr>
          <w:rFonts w:ascii="Arial" w:hAnsi="Arial" w:cs="Arial"/>
          <w:bCs/>
        </w:rPr>
        <w:t>No:</w:t>
      </w:r>
      <w:r w:rsidRPr="00584DC5">
        <w:rPr>
          <w:rFonts w:ascii="Arial" w:hAnsi="Arial" w:cs="Arial"/>
        </w:rPr>
        <w:t xml:space="preserve"> </w:t>
      </w:r>
      <w:r w:rsidRPr="00584DC5">
        <w:rPr>
          <w:rFonts w:ascii="Arial" w:hAnsi="Arial" w:cs="Arial"/>
          <w:lang w:val="es-ES_tradnl"/>
        </w:rPr>
        <w:t>CONV-PROC-7-2022-MTC/21-CCII.-1</w:t>
      </w:r>
    </w:p>
    <w:p w14:paraId="38BD69D2" w14:textId="2BDBB312" w:rsidR="00CA2F3E" w:rsidRDefault="00CA2F3E" w:rsidP="00CA2F3E">
      <w:pPr>
        <w:contextualSpacing/>
        <w:jc w:val="center"/>
        <w:rPr>
          <w:rFonts w:ascii="Arial" w:hAnsi="Arial" w:cs="Arial"/>
          <w:i/>
        </w:rPr>
      </w:pPr>
    </w:p>
    <w:p w14:paraId="26718465" w14:textId="77777777" w:rsidR="00CA2F3E" w:rsidRPr="00584DC5" w:rsidRDefault="00CA2F3E" w:rsidP="00CA2F3E">
      <w:pPr>
        <w:contextualSpacing/>
        <w:jc w:val="center"/>
        <w:rPr>
          <w:rFonts w:ascii="Arial" w:hAnsi="Arial" w:cs="Arial"/>
          <w:i/>
        </w:rPr>
      </w:pPr>
    </w:p>
    <w:p w14:paraId="559179C0" w14:textId="77777777" w:rsidR="00CA2F3E" w:rsidRPr="00584DC5" w:rsidRDefault="00CA2F3E" w:rsidP="00CA2F3E">
      <w:pPr>
        <w:spacing w:after="200"/>
        <w:jc w:val="both"/>
        <w:rPr>
          <w:rFonts w:ascii="Arial" w:hAnsi="Arial" w:cs="Arial"/>
        </w:rPr>
      </w:pPr>
      <w:r w:rsidRPr="00584DC5">
        <w:rPr>
          <w:rFonts w:ascii="Arial" w:hAnsi="Arial" w:cs="Arial"/>
        </w:rPr>
        <w:t>1.</w:t>
      </w:r>
      <w:r w:rsidRPr="00584DC5">
        <w:rPr>
          <w:rFonts w:ascii="Arial" w:hAnsi="Arial" w:cs="Arial"/>
        </w:rPr>
        <w:tab/>
        <w:t>El Proyecto Especial de Infraestructura de Transporte Descentralizado (Provias Descentralizado) ha recibido un préstamo del Banco Interamericano de Desarrollo para financiar parcialmente el costo del Programa de Apoyo de Transporte Subnacional - PATS, y se propone utilizar parte de los fondos de este préstamo para efectuar los pagos bajo el Contrato de la Consultoría: “Consultoría Individual para la Asistencia Técnica en la Implementación del Plan de Desarrollo Económico Local de la Provincia de Contralmirante Villar – Región Tumbes sujetos al Programa de Apoyo al Transporte Subnacional (PATS)” - No CONV-PROC-7-2022-MTC/21-CCII.-1</w:t>
      </w:r>
    </w:p>
    <w:p w14:paraId="48F89A22" w14:textId="77777777" w:rsidR="00CA2F3E" w:rsidRPr="00584DC5" w:rsidRDefault="00CA2F3E" w:rsidP="00CA2F3E">
      <w:pPr>
        <w:spacing w:after="200"/>
        <w:jc w:val="both"/>
        <w:rPr>
          <w:rFonts w:ascii="Arial" w:hAnsi="Arial" w:cs="Arial"/>
        </w:rPr>
      </w:pPr>
      <w:r w:rsidRPr="00584DC5">
        <w:rPr>
          <w:rFonts w:ascii="Arial" w:hAnsi="Arial" w:cs="Arial"/>
        </w:rPr>
        <w:t>2.</w:t>
      </w:r>
      <w:r w:rsidRPr="00584DC5">
        <w:rPr>
          <w:rFonts w:ascii="Arial" w:hAnsi="Arial" w:cs="Arial"/>
        </w:rPr>
        <w:tab/>
        <w:t>PROVIAS DESCENTRALIZADO invita a los Oferentes elegibles a presentar ofertas para: “Consultoría Individual para la Asistencia Técnica en la Implementación del Plan de Desarrollo Económico Local de la Provincia de Contralmirante Villar – Región Tumbes sujetos al Programa de Apoyo al Transporte Subnacional (PATS)” - No CONV-PROC-7-2022-MTC/21-CCII.-1”</w:t>
      </w:r>
      <w:r w:rsidRPr="00584DC5">
        <w:rPr>
          <w:rFonts w:ascii="Arial" w:hAnsi="Arial" w:cs="Arial"/>
          <w:i/>
          <w:color w:val="0000FF"/>
        </w:rPr>
        <w:t>.</w:t>
      </w:r>
      <w:r w:rsidRPr="00584DC5">
        <w:rPr>
          <w:rFonts w:ascii="Arial" w:hAnsi="Arial" w:cs="Arial"/>
          <w:i/>
          <w:color w:val="0033CC"/>
        </w:rPr>
        <w:t xml:space="preserve"> </w:t>
      </w:r>
      <w:r w:rsidRPr="00584DC5">
        <w:rPr>
          <w:rFonts w:ascii="Arial" w:hAnsi="Arial" w:cs="Arial"/>
        </w:rPr>
        <w:t>El plazo de duración de la consultoría es de ciento veinte (120) días calendario.</w:t>
      </w:r>
    </w:p>
    <w:p w14:paraId="043DECF6" w14:textId="77777777" w:rsidR="00CA2F3E" w:rsidRPr="00584DC5" w:rsidRDefault="00CA2F3E" w:rsidP="00CA2F3E">
      <w:pPr>
        <w:spacing w:after="200"/>
        <w:jc w:val="both"/>
        <w:rPr>
          <w:rFonts w:ascii="Arial" w:hAnsi="Arial" w:cs="Arial"/>
          <w:i/>
        </w:rPr>
      </w:pPr>
      <w:r>
        <w:rPr>
          <w:rFonts w:ascii="Arial" w:hAnsi="Arial" w:cs="Arial"/>
        </w:rPr>
        <w:t>3</w:t>
      </w:r>
      <w:r w:rsidRPr="00584DC5">
        <w:rPr>
          <w:rFonts w:ascii="Arial" w:hAnsi="Arial" w:cs="Arial"/>
        </w:rPr>
        <w:t>.</w:t>
      </w:r>
      <w:r w:rsidRPr="00584DC5">
        <w:rPr>
          <w:rFonts w:ascii="Arial" w:hAnsi="Arial" w:cs="Arial"/>
        </w:rPr>
        <w:tab/>
        <w:t xml:space="preserve">La Solicitud de Ofertas (SDO) se efectuará conforme </w:t>
      </w:r>
      <w:r w:rsidRPr="004E2BD1">
        <w:rPr>
          <w:rFonts w:ascii="Arial" w:hAnsi="Arial" w:cs="Arial"/>
        </w:rPr>
        <w:t xml:space="preserve">a los procedimientos de Consultoría Individual establecidos en la publicación del Banco Interamericano </w:t>
      </w:r>
      <w:r w:rsidRPr="00584DC5">
        <w:rPr>
          <w:rFonts w:ascii="Arial" w:hAnsi="Arial" w:cs="Arial"/>
        </w:rPr>
        <w:t xml:space="preserve">de Desarrollo titulada </w:t>
      </w:r>
      <w:r w:rsidRPr="00584DC5">
        <w:rPr>
          <w:rFonts w:ascii="Arial" w:hAnsi="Arial" w:cs="Arial"/>
          <w:i/>
        </w:rPr>
        <w:t>Políticas para la Adquisición de Obras y Bienes financiados por el Banco Interamericano de Desarrollo (BID</w:t>
      </w:r>
      <w:r w:rsidRPr="00584DC5">
        <w:rPr>
          <w:rFonts w:ascii="Arial" w:hAnsi="Arial" w:cs="Arial"/>
          <w:i/>
          <w:iCs/>
        </w:rPr>
        <w:t xml:space="preserve">) </w:t>
      </w:r>
      <w:r w:rsidRPr="00584DC5">
        <w:rPr>
          <w:rFonts w:ascii="Arial" w:hAnsi="Arial" w:cs="Arial"/>
        </w:rPr>
        <w:t>GN-2349-15 aprobada por el Directorio Ejecutivo del Banco el 2 de julio 2019 y efectiva el 1 de enero de 2020, y está abierta a todos los Oferentes de países elegibles, según se definen en el documentos de licitación</w:t>
      </w:r>
      <w:r w:rsidRPr="00584DC5">
        <w:rPr>
          <w:rStyle w:val="Refdenotaalpie"/>
          <w:rFonts w:ascii="Arial" w:hAnsi="Arial" w:cs="Arial"/>
          <w:i/>
        </w:rPr>
        <w:footnoteReference w:id="1"/>
      </w:r>
      <w:r w:rsidRPr="00584DC5">
        <w:rPr>
          <w:rFonts w:ascii="Arial" w:hAnsi="Arial" w:cs="Arial"/>
          <w:i/>
        </w:rPr>
        <w:t>.</w:t>
      </w:r>
    </w:p>
    <w:p w14:paraId="56B84E57" w14:textId="77777777" w:rsidR="00CA2F3E" w:rsidRPr="00584DC5" w:rsidRDefault="00CA2F3E" w:rsidP="00CA2F3E">
      <w:pPr>
        <w:spacing w:after="200"/>
        <w:jc w:val="both"/>
        <w:rPr>
          <w:rFonts w:ascii="Arial" w:hAnsi="Arial" w:cs="Arial"/>
        </w:rPr>
      </w:pPr>
      <w:r>
        <w:rPr>
          <w:rFonts w:ascii="Arial" w:hAnsi="Arial" w:cs="Arial"/>
        </w:rPr>
        <w:t>4</w:t>
      </w:r>
      <w:r w:rsidRPr="00584DC5">
        <w:rPr>
          <w:rFonts w:ascii="Arial" w:hAnsi="Arial" w:cs="Arial"/>
        </w:rPr>
        <w:t>. Las ofertas deberán hacerse llegar a la Mesa de Partes Virtual /Trámite documentario a partir de las 8:30</w:t>
      </w:r>
      <w:r w:rsidRPr="00584DC5">
        <w:rPr>
          <w:rFonts w:ascii="Arial" w:hAnsi="Arial" w:cs="Arial"/>
          <w:i/>
        </w:rPr>
        <w:t xml:space="preserve"> hora local del día </w:t>
      </w:r>
      <w:r w:rsidRPr="00584DC5">
        <w:rPr>
          <w:rFonts w:ascii="Arial" w:hAnsi="Arial" w:cs="Arial"/>
        </w:rPr>
        <w:t xml:space="preserve">04 de abril de 2022 hasta las 17:30 hora local. Las ofertas que se reciban fuera del plazo serán rechazadas. </w:t>
      </w:r>
    </w:p>
    <w:p w14:paraId="27ECA048" w14:textId="77777777" w:rsidR="00CA2F3E" w:rsidRPr="00903A21" w:rsidRDefault="00CA2F3E" w:rsidP="00CA2F3E">
      <w:pPr>
        <w:pStyle w:val="Prrafodelista"/>
        <w:spacing w:line="276" w:lineRule="auto"/>
        <w:ind w:left="426"/>
        <w:jc w:val="both"/>
        <w:rPr>
          <w:rFonts w:ascii="Arial" w:hAnsi="Arial" w:cs="Arial"/>
        </w:rPr>
      </w:pPr>
    </w:p>
    <w:p w14:paraId="54C6760C" w14:textId="77777777" w:rsidR="00935049" w:rsidRDefault="00935049"/>
    <w:sectPr w:rsidR="00935049">
      <w:headerReference w:type="default" r:id="rId6"/>
      <w:footerReference w:type="default" r:id="rId7"/>
      <w:pgSz w:w="11906" w:h="16838"/>
      <w:pgMar w:top="1417" w:right="1423" w:bottom="1417" w:left="1417" w:header="708" w:footer="6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70E4" w14:textId="77777777" w:rsidR="00CB7165" w:rsidRDefault="00CB7165" w:rsidP="00CA2F3E">
      <w:pPr>
        <w:spacing w:after="0" w:line="240" w:lineRule="auto"/>
      </w:pPr>
      <w:r>
        <w:separator/>
      </w:r>
    </w:p>
  </w:endnote>
  <w:endnote w:type="continuationSeparator" w:id="0">
    <w:p w14:paraId="1EAFCA79" w14:textId="77777777" w:rsidR="00CB7165" w:rsidRDefault="00CB7165" w:rsidP="00CA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4E84" w14:textId="77777777" w:rsidR="009070C0" w:rsidRDefault="00CB7165">
    <w:pPr>
      <w:pBdr>
        <w:top w:val="nil"/>
        <w:left w:val="nil"/>
        <w:bottom w:val="nil"/>
        <w:right w:val="nil"/>
        <w:between w:val="nil"/>
      </w:pBdr>
      <w:tabs>
        <w:tab w:val="center" w:pos="4252"/>
        <w:tab w:val="right" w:pos="8504"/>
        <w:tab w:val="right" w:pos="9072"/>
      </w:tabs>
      <w:spacing w:after="0" w:line="240" w:lineRule="auto"/>
      <w:ind w:right="-562"/>
      <w:rPr>
        <w:rFonts w:ascii="Arial" w:eastAsia="Arial" w:hAnsi="Arial" w:cs="Arial"/>
        <w:color w:val="666666"/>
        <w:sz w:val="16"/>
        <w:szCs w:val="16"/>
      </w:rPr>
    </w:pPr>
  </w:p>
  <w:p w14:paraId="18A6F519" w14:textId="77777777" w:rsidR="009070C0" w:rsidRDefault="000C6D23">
    <w:pPr>
      <w:pBdr>
        <w:top w:val="nil"/>
        <w:left w:val="nil"/>
        <w:bottom w:val="nil"/>
        <w:right w:val="nil"/>
        <w:between w:val="nil"/>
      </w:pBdr>
      <w:tabs>
        <w:tab w:val="center" w:pos="4252"/>
        <w:tab w:val="right" w:pos="8504"/>
        <w:tab w:val="right" w:pos="9072"/>
      </w:tabs>
      <w:spacing w:after="0" w:line="240" w:lineRule="auto"/>
      <w:ind w:left="7228" w:right="-562"/>
      <w:rPr>
        <w:rFonts w:ascii="Arial" w:eastAsia="Arial" w:hAnsi="Arial" w:cs="Arial"/>
        <w:color w:val="666666"/>
        <w:sz w:val="16"/>
        <w:szCs w:val="16"/>
      </w:rPr>
    </w:pPr>
    <w:r>
      <w:rPr>
        <w:noProof/>
      </w:rPr>
      <w:drawing>
        <wp:anchor distT="114300" distB="114300" distL="114300" distR="114300" simplePos="0" relativeHeight="251660288" behindDoc="0" locked="0" layoutInCell="1" hidden="0" allowOverlap="1" wp14:anchorId="30A419E1" wp14:editId="22819546">
          <wp:simplePos x="0" y="0"/>
          <wp:positionH relativeFrom="column">
            <wp:posOffset>4229100</wp:posOffset>
          </wp:positionH>
          <wp:positionV relativeFrom="paragraph">
            <wp:posOffset>142875</wp:posOffset>
          </wp:positionV>
          <wp:extent cx="1782278" cy="962025"/>
          <wp:effectExtent l="0" t="0" r="0" b="0"/>
          <wp:wrapNone/>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2572" t="14521" r="21328" b="18167"/>
                  <a:stretch>
                    <a:fillRect/>
                  </a:stretch>
                </pic:blipFill>
                <pic:spPr>
                  <a:xfrm>
                    <a:off x="0" y="0"/>
                    <a:ext cx="1782278" cy="962025"/>
                  </a:xfrm>
                  <a:prstGeom prst="rect">
                    <a:avLst/>
                  </a:prstGeom>
                  <a:ln/>
                </pic:spPr>
              </pic:pic>
            </a:graphicData>
          </a:graphic>
        </wp:anchor>
      </w:drawing>
    </w:r>
  </w:p>
  <w:p w14:paraId="58157D13" w14:textId="77777777" w:rsidR="009070C0" w:rsidRDefault="00CB7165">
    <w:pPr>
      <w:pBdr>
        <w:top w:val="nil"/>
        <w:left w:val="nil"/>
        <w:bottom w:val="nil"/>
        <w:right w:val="nil"/>
        <w:between w:val="nil"/>
      </w:pBdr>
      <w:tabs>
        <w:tab w:val="center" w:pos="4252"/>
        <w:tab w:val="right" w:pos="8504"/>
        <w:tab w:val="right" w:pos="9072"/>
      </w:tabs>
      <w:spacing w:after="0" w:line="240" w:lineRule="auto"/>
      <w:ind w:left="7228" w:right="-562"/>
      <w:rPr>
        <w:rFonts w:ascii="Arial" w:eastAsia="Arial" w:hAnsi="Arial" w:cs="Arial"/>
        <w:color w:val="666666"/>
        <w:sz w:val="16"/>
        <w:szCs w:val="16"/>
      </w:rPr>
    </w:pPr>
  </w:p>
  <w:p w14:paraId="4B6C1632" w14:textId="77777777" w:rsidR="009070C0" w:rsidRDefault="00CB7165">
    <w:pPr>
      <w:pBdr>
        <w:top w:val="nil"/>
        <w:left w:val="nil"/>
        <w:bottom w:val="nil"/>
        <w:right w:val="nil"/>
        <w:between w:val="nil"/>
      </w:pBdr>
      <w:tabs>
        <w:tab w:val="center" w:pos="4252"/>
        <w:tab w:val="right" w:pos="8504"/>
        <w:tab w:val="right" w:pos="9072"/>
      </w:tabs>
      <w:spacing w:after="0" w:line="240" w:lineRule="auto"/>
      <w:ind w:left="7228" w:right="-562"/>
      <w:rPr>
        <w:rFonts w:ascii="Arial" w:eastAsia="Arial" w:hAnsi="Arial" w:cs="Arial"/>
        <w:color w:val="666666"/>
        <w:sz w:val="16"/>
        <w:szCs w:val="16"/>
      </w:rPr>
    </w:pPr>
  </w:p>
  <w:p w14:paraId="0C9C6345" w14:textId="77777777" w:rsidR="00772C15" w:rsidRDefault="000C6D23" w:rsidP="00772C15">
    <w:pPr>
      <w:pBdr>
        <w:top w:val="nil"/>
        <w:left w:val="nil"/>
        <w:bottom w:val="nil"/>
        <w:right w:val="nil"/>
        <w:between w:val="nil"/>
      </w:pBdr>
      <w:tabs>
        <w:tab w:val="center" w:pos="4252"/>
        <w:tab w:val="right" w:pos="8504"/>
        <w:tab w:val="right" w:pos="9072"/>
      </w:tabs>
      <w:spacing w:after="0" w:line="240" w:lineRule="auto"/>
      <w:ind w:right="-562"/>
      <w:rPr>
        <w:rFonts w:ascii="Arial" w:eastAsia="Arial" w:hAnsi="Arial" w:cs="Arial"/>
        <w:color w:val="666666"/>
        <w:sz w:val="16"/>
        <w:szCs w:val="16"/>
      </w:rPr>
    </w:pPr>
    <w:r>
      <w:rPr>
        <w:rFonts w:ascii="Arial" w:eastAsia="Arial" w:hAnsi="Arial" w:cs="Arial"/>
        <w:color w:val="666666"/>
        <w:sz w:val="16"/>
        <w:szCs w:val="16"/>
      </w:rPr>
      <w:t>Jr. Camaná 678 – Lima – Perú</w:t>
    </w:r>
  </w:p>
  <w:p w14:paraId="6698FF24" w14:textId="77777777" w:rsidR="00772C15" w:rsidRDefault="000C6D23" w:rsidP="00772C15">
    <w:pPr>
      <w:pBdr>
        <w:top w:val="nil"/>
        <w:left w:val="nil"/>
        <w:bottom w:val="nil"/>
        <w:right w:val="nil"/>
        <w:between w:val="nil"/>
      </w:pBdr>
      <w:tabs>
        <w:tab w:val="center" w:pos="4252"/>
        <w:tab w:val="right" w:pos="8504"/>
        <w:tab w:val="right" w:pos="9072"/>
      </w:tabs>
      <w:spacing w:after="0" w:line="240" w:lineRule="auto"/>
      <w:ind w:right="-562"/>
      <w:rPr>
        <w:rFonts w:ascii="Arial" w:eastAsia="Arial" w:hAnsi="Arial" w:cs="Arial"/>
        <w:color w:val="666666"/>
        <w:sz w:val="16"/>
        <w:szCs w:val="16"/>
      </w:rPr>
    </w:pPr>
    <w:r>
      <w:rPr>
        <w:rFonts w:ascii="Arial" w:eastAsia="Arial" w:hAnsi="Arial" w:cs="Arial"/>
        <w:color w:val="666666"/>
        <w:sz w:val="16"/>
        <w:szCs w:val="16"/>
      </w:rPr>
      <w:t>Pisos 2, 5, 7 al 12</w:t>
    </w:r>
    <w:r>
      <w:rPr>
        <w:rFonts w:ascii="Arial" w:eastAsia="Arial" w:hAnsi="Arial" w:cs="Arial"/>
        <w:color w:val="666666"/>
        <w:sz w:val="16"/>
        <w:szCs w:val="16"/>
      </w:rPr>
      <w:br/>
      <w:t>Central telefónica. (511) 514-5300</w:t>
    </w:r>
  </w:p>
  <w:p w14:paraId="1681074F" w14:textId="77777777" w:rsidR="00772C15" w:rsidRDefault="000C6D23" w:rsidP="00772C15">
    <w:pPr>
      <w:pBdr>
        <w:top w:val="nil"/>
        <w:left w:val="nil"/>
        <w:bottom w:val="nil"/>
        <w:right w:val="nil"/>
        <w:between w:val="nil"/>
      </w:pBdr>
      <w:tabs>
        <w:tab w:val="center" w:pos="4252"/>
        <w:tab w:val="right" w:pos="8504"/>
      </w:tabs>
      <w:spacing w:after="0" w:line="240" w:lineRule="auto"/>
      <w:ind w:right="-562"/>
      <w:rPr>
        <w:rFonts w:ascii="Arial" w:eastAsia="Arial" w:hAnsi="Arial" w:cs="Arial"/>
        <w:color w:val="666666"/>
        <w:sz w:val="16"/>
        <w:szCs w:val="16"/>
      </w:rPr>
    </w:pPr>
    <w:r>
      <w:rPr>
        <w:rFonts w:ascii="Arial" w:eastAsia="Arial" w:hAnsi="Arial" w:cs="Arial"/>
        <w:color w:val="666666"/>
        <w:sz w:val="16"/>
        <w:szCs w:val="16"/>
      </w:rPr>
      <w:t>www.pvd.gob.pe</w:t>
    </w:r>
  </w:p>
  <w:p w14:paraId="6F022582" w14:textId="77777777" w:rsidR="009070C0" w:rsidRDefault="00CB7165">
    <w:pPr>
      <w:pBdr>
        <w:top w:val="nil"/>
        <w:left w:val="nil"/>
        <w:bottom w:val="nil"/>
        <w:right w:val="nil"/>
        <w:between w:val="nil"/>
      </w:pBdr>
      <w:tabs>
        <w:tab w:val="center" w:pos="4252"/>
        <w:tab w:val="right" w:pos="8504"/>
      </w:tabs>
      <w:spacing w:after="0" w:line="240" w:lineRule="auto"/>
      <w:ind w:left="-142"/>
      <w:jc w:val="right"/>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8411" w14:textId="77777777" w:rsidR="00CB7165" w:rsidRDefault="00CB7165" w:rsidP="00CA2F3E">
      <w:pPr>
        <w:spacing w:after="0" w:line="240" w:lineRule="auto"/>
      </w:pPr>
      <w:r>
        <w:separator/>
      </w:r>
    </w:p>
  </w:footnote>
  <w:footnote w:type="continuationSeparator" w:id="0">
    <w:p w14:paraId="5C88F48D" w14:textId="77777777" w:rsidR="00CB7165" w:rsidRDefault="00CB7165" w:rsidP="00CA2F3E">
      <w:pPr>
        <w:spacing w:after="0" w:line="240" w:lineRule="auto"/>
      </w:pPr>
      <w:r>
        <w:continuationSeparator/>
      </w:r>
    </w:p>
  </w:footnote>
  <w:footnote w:id="1">
    <w:p w14:paraId="3BCDBFF3" w14:textId="77777777" w:rsidR="00CA2F3E" w:rsidRPr="003D6336" w:rsidRDefault="00CA2F3E" w:rsidP="00CA2F3E">
      <w:pPr>
        <w:pStyle w:val="Textonotapie"/>
        <w:jc w:val="both"/>
        <w:rPr>
          <w:sz w:val="18"/>
        </w:rPr>
      </w:pPr>
      <w:r w:rsidRPr="003D6336">
        <w:rPr>
          <w:rStyle w:val="Refdenotaalpie"/>
          <w:sz w:val="18"/>
        </w:rPr>
        <w:footnoteRef/>
      </w:r>
      <w:r w:rsidRPr="003D6336">
        <w:rPr>
          <w:sz w:val="18"/>
        </w:rPr>
        <w:t xml:space="preserve"> </w:t>
      </w:r>
      <w:r w:rsidRPr="003D6336">
        <w:rPr>
          <w:sz w:val="18"/>
        </w:rPr>
        <w:tab/>
        <w:t xml:space="preserve">Ocasionalmente, los contratos pueden ser financiados de fondos especiales que restringen o amplíen aún más la elegibilidad a un grupo particular de países miembros. Cuando este sea el caso, se deberá mencionar en este párrafo. </w:t>
      </w:r>
      <w:r w:rsidRPr="003D6336">
        <w:rPr>
          <w:sz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A64A" w14:textId="77777777" w:rsidR="009070C0" w:rsidRDefault="000C6D23">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14"/>
        <w:szCs w:val="14"/>
      </w:rPr>
    </w:pPr>
    <w:r>
      <w:rPr>
        <w:noProof/>
      </w:rPr>
      <w:drawing>
        <wp:anchor distT="0" distB="0" distL="0" distR="0" simplePos="0" relativeHeight="251659264" behindDoc="1" locked="0" layoutInCell="1" hidden="0" allowOverlap="1" wp14:anchorId="1DA2925F" wp14:editId="00D619B0">
          <wp:simplePos x="0" y="0"/>
          <wp:positionH relativeFrom="column">
            <wp:posOffset>395288</wp:posOffset>
          </wp:positionH>
          <wp:positionV relativeFrom="paragraph">
            <wp:posOffset>0</wp:posOffset>
          </wp:positionV>
          <wp:extent cx="4493482" cy="438626"/>
          <wp:effectExtent l="0" t="0" r="0" b="0"/>
          <wp:wrapNone/>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39" b="239"/>
                  <a:stretch>
                    <a:fillRect/>
                  </a:stretch>
                </pic:blipFill>
                <pic:spPr>
                  <a:xfrm>
                    <a:off x="0" y="0"/>
                    <a:ext cx="4493482" cy="438626"/>
                  </a:xfrm>
                  <a:prstGeom prst="rect">
                    <a:avLst/>
                  </a:prstGeom>
                  <a:ln/>
                </pic:spPr>
              </pic:pic>
            </a:graphicData>
          </a:graphic>
        </wp:anchor>
      </w:drawing>
    </w:r>
  </w:p>
  <w:p w14:paraId="277D5CFF" w14:textId="77777777" w:rsidR="009070C0" w:rsidRDefault="00CB7165">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14"/>
        <w:szCs w:val="14"/>
      </w:rPr>
    </w:pPr>
  </w:p>
  <w:p w14:paraId="0F655CA2" w14:textId="77777777" w:rsidR="009070C0" w:rsidRDefault="00CB7165">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14"/>
        <w:szCs w:val="14"/>
      </w:rPr>
    </w:pPr>
  </w:p>
  <w:p w14:paraId="3E9F7CF5" w14:textId="77777777" w:rsidR="009070C0" w:rsidRDefault="00CB7165">
    <w:pPr>
      <w:pBdr>
        <w:top w:val="nil"/>
        <w:left w:val="nil"/>
        <w:bottom w:val="nil"/>
        <w:right w:val="nil"/>
        <w:between w:val="nil"/>
      </w:pBdr>
      <w:tabs>
        <w:tab w:val="center" w:pos="4252"/>
        <w:tab w:val="right" w:pos="8504"/>
        <w:tab w:val="left" w:pos="2265"/>
      </w:tabs>
      <w:spacing w:after="0" w:line="240" w:lineRule="auto"/>
      <w:ind w:left="-360"/>
      <w:rPr>
        <w:rFonts w:ascii="Arial" w:eastAsia="Arial" w:hAnsi="Arial" w:cs="Arial"/>
        <w:b/>
        <w:sz w:val="14"/>
        <w:szCs w:val="14"/>
      </w:rPr>
    </w:pPr>
  </w:p>
  <w:p w14:paraId="07898F23" w14:textId="77777777" w:rsidR="009070C0" w:rsidRDefault="00CB7165">
    <w:pPr>
      <w:pBdr>
        <w:top w:val="nil"/>
        <w:left w:val="nil"/>
        <w:bottom w:val="nil"/>
        <w:right w:val="nil"/>
        <w:between w:val="nil"/>
      </w:pBdr>
      <w:tabs>
        <w:tab w:val="center" w:pos="4252"/>
        <w:tab w:val="right" w:pos="8504"/>
        <w:tab w:val="left" w:pos="2265"/>
      </w:tabs>
      <w:spacing w:after="0" w:line="240" w:lineRule="auto"/>
      <w:ind w:left="-360"/>
      <w:rPr>
        <w:rFonts w:ascii="Arial" w:eastAsia="Arial" w:hAnsi="Arial" w:cs="Arial"/>
        <w:b/>
        <w:sz w:val="14"/>
        <w:szCs w:val="14"/>
      </w:rPr>
    </w:pPr>
  </w:p>
  <w:p w14:paraId="4344D3CF" w14:textId="77777777" w:rsidR="009070C0" w:rsidRDefault="000C6D23">
    <w:pPr>
      <w:pBdr>
        <w:top w:val="nil"/>
        <w:left w:val="nil"/>
        <w:bottom w:val="nil"/>
        <w:right w:val="nil"/>
        <w:between w:val="nil"/>
      </w:pBdr>
      <w:tabs>
        <w:tab w:val="center" w:pos="4252"/>
        <w:tab w:val="right" w:pos="8504"/>
        <w:tab w:val="left" w:pos="2265"/>
      </w:tabs>
      <w:spacing w:after="0" w:line="240" w:lineRule="auto"/>
      <w:ind w:left="-360"/>
      <w:jc w:val="center"/>
      <w:rPr>
        <w:rFonts w:ascii="Arial" w:eastAsia="Arial" w:hAnsi="Arial" w:cs="Arial"/>
        <w:color w:val="000000"/>
        <w:sz w:val="14"/>
        <w:szCs w:val="14"/>
      </w:rPr>
    </w:pPr>
    <w:r>
      <w:rPr>
        <w:rFonts w:ascii="Arial" w:eastAsia="Arial" w:hAnsi="Arial" w:cs="Arial"/>
        <w:color w:val="000000"/>
        <w:sz w:val="14"/>
        <w:szCs w:val="14"/>
      </w:rPr>
      <w:t xml:space="preserve">“Decenio de la Igualdad de Oportunidades para </w:t>
    </w:r>
    <w:r>
      <w:rPr>
        <w:rFonts w:ascii="Arial" w:eastAsia="Arial" w:hAnsi="Arial" w:cs="Arial"/>
        <w:sz w:val="14"/>
        <w:szCs w:val="14"/>
      </w:rPr>
      <w:t>m</w:t>
    </w:r>
    <w:r>
      <w:rPr>
        <w:rFonts w:ascii="Arial" w:eastAsia="Arial" w:hAnsi="Arial" w:cs="Arial"/>
        <w:color w:val="000000"/>
        <w:sz w:val="14"/>
        <w:szCs w:val="14"/>
      </w:rPr>
      <w:t xml:space="preserve">ujeres y </w:t>
    </w:r>
    <w:r>
      <w:rPr>
        <w:rFonts w:ascii="Arial" w:eastAsia="Arial" w:hAnsi="Arial" w:cs="Arial"/>
        <w:sz w:val="14"/>
        <w:szCs w:val="14"/>
      </w:rPr>
      <w:t>h</w:t>
    </w:r>
    <w:r>
      <w:rPr>
        <w:rFonts w:ascii="Arial" w:eastAsia="Arial" w:hAnsi="Arial" w:cs="Arial"/>
        <w:color w:val="000000"/>
        <w:sz w:val="14"/>
        <w:szCs w:val="14"/>
      </w:rPr>
      <w:t>ombres”</w:t>
    </w:r>
  </w:p>
  <w:p w14:paraId="427E787A" w14:textId="77777777" w:rsidR="009070C0" w:rsidRDefault="00CB7165">
    <w:pPr>
      <w:spacing w:after="0" w:line="240" w:lineRule="auto"/>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3E"/>
    <w:rsid w:val="000C6D23"/>
    <w:rsid w:val="00935049"/>
    <w:rsid w:val="00A21A1E"/>
    <w:rsid w:val="00CA2F3E"/>
    <w:rsid w:val="00CB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EDD2"/>
  <w15:chartTrackingRefBased/>
  <w15:docId w15:val="{CBE0F1B4-F4C9-47A1-AE62-C7F1F26C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3E"/>
    <w:rPr>
      <w:rFonts w:ascii="Calibri" w:eastAsia="Calibri" w:hAnsi="Calibri" w:cs="Calibri"/>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Nota pie de cuadro Car,Fundamentacion Car,paul2 Car,Footnote Car,NIVEL ONE Car,TITULO A Car,ct parrafo Car,Lista 123 Car,Cita Pie de Página Car,Paragraph Car,Párrafo Normal Car,Number List 1 Car,FIDA Car,titulo 5 Car,Ha Car"/>
    <w:link w:val="Prrafodelista"/>
    <w:uiPriority w:val="34"/>
    <w:qFormat/>
    <w:locked/>
    <w:rsid w:val="00CA2F3E"/>
    <w:rPr>
      <w:rFonts w:ascii="Times New Roman" w:eastAsia="Times New Roman" w:hAnsi="Times New Roman" w:cs="Times New Roman"/>
      <w:lang w:val="es-ES" w:eastAsia="es-ES"/>
    </w:rPr>
  </w:style>
  <w:style w:type="paragraph" w:styleId="Prrafodelista">
    <w:name w:val="List Paragraph"/>
    <w:aliases w:val="Nota pie de cuadro,Fundamentacion,paul2,Footnote,NIVEL ONE,TITULO A,ct parrafo,Lista 123,Cita Pie de Página,Paragraph,Párrafo Normal,Number List 1,FIDA,titulo 5,Ha,Párrafo,Viñeta normal,Akapit z listą BS,List_Paragraph,Titulo de Fígura"/>
    <w:basedOn w:val="Normal"/>
    <w:link w:val="PrrafodelistaCar"/>
    <w:uiPriority w:val="34"/>
    <w:qFormat/>
    <w:rsid w:val="00CA2F3E"/>
    <w:pPr>
      <w:spacing w:after="0" w:line="240" w:lineRule="auto"/>
      <w:ind w:left="708"/>
    </w:pPr>
    <w:rPr>
      <w:rFonts w:ascii="Times New Roman" w:eastAsia="Times New Roman" w:hAnsi="Times New Roman" w:cs="Times New Roman"/>
      <w:lang w:val="es-ES" w:eastAsia="es-ES"/>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A2F3E"/>
    <w:pPr>
      <w:spacing w:after="0" w:line="240" w:lineRule="auto"/>
      <w:ind w:left="180" w:hanging="180"/>
    </w:pPr>
    <w:rPr>
      <w:rFonts w:ascii="Times New Roman" w:eastAsia="Times New Roman" w:hAnsi="Times New Roman" w:cs="Times New Roman"/>
      <w:sz w:val="20"/>
      <w:szCs w:val="20"/>
      <w:lang w:val="es-ES_tradnl" w:eastAsia="x-none"/>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rsid w:val="00CA2F3E"/>
    <w:rPr>
      <w:rFonts w:ascii="Times New Roman" w:eastAsia="Times New Roman" w:hAnsi="Times New Roman" w:cs="Times New Roman"/>
      <w:sz w:val="20"/>
      <w:szCs w:val="20"/>
      <w:lang w:val="es-ES_tradnl" w:eastAsia="x-none"/>
    </w:rPr>
  </w:style>
  <w:style w:type="character" w:styleId="Refdenotaalpie">
    <w:name w:val="footnote reference"/>
    <w:uiPriority w:val="99"/>
    <w:rsid w:val="00CA2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1691</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Lulu</cp:lastModifiedBy>
  <cp:revision>2</cp:revision>
  <dcterms:created xsi:type="dcterms:W3CDTF">2022-03-28T21:18:00Z</dcterms:created>
  <dcterms:modified xsi:type="dcterms:W3CDTF">2022-03-28T21:35:00Z</dcterms:modified>
</cp:coreProperties>
</file>